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建设工程质量管理条例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中华人民共和国国务院令第279号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（2000年1月10日国务院第25次常务会议通过  2000年1月30日中华人民共和国国务院令第279号公布  自公布之日起施行）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lang w:val="en-US" w:eastAsia="zh-CN"/>
        </w:rPr>
        <w:t>目  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8" w:leftChars="304" w:right="0" w:firstLine="0" w:firstLineChars="0"/>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第一章　总　则</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第二章　建设单位的质量责任和义务</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第三章　勘察、设计单位的质量责任和义务</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第四章　施工单位的质量责任和义务</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第五章　工程监理单位的质量责任和义务</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第六章　建设工程质量保修</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第七章　监督管理</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第八章　罚　则</w:t>
      </w:r>
      <w:r>
        <w:rPr>
          <w:rFonts w:hint="eastAsia" w:ascii="仿宋_GB2312" w:hAnsi="仿宋_GB2312" w:eastAsia="仿宋_GB2312" w:cs="仿宋_GB2312"/>
          <w:sz w:val="32"/>
          <w:szCs w:val="32"/>
          <w:shd w:val="clear" w:fill="FFFFFF"/>
          <w:lang w:val="en-US" w:eastAsia="zh-CN"/>
        </w:rPr>
        <w:br w:type="textWrapping"/>
      </w:r>
      <w:r>
        <w:rPr>
          <w:rFonts w:hint="eastAsia" w:ascii="仿宋_GB2312" w:hAnsi="仿宋_GB2312" w:eastAsia="仿宋_GB2312" w:cs="仿宋_GB2312"/>
          <w:sz w:val="32"/>
          <w:szCs w:val="32"/>
          <w:shd w:val="clear" w:fill="FFFFFF"/>
          <w:lang w:val="en-US" w:eastAsia="zh-CN"/>
        </w:rPr>
        <w:t>第九章　附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38" w:leftChars="304" w:right="0" w:firstLine="0" w:firstLineChars="0"/>
        <w:textAlignment w:val="auto"/>
        <w:rPr>
          <w:rFonts w:hint="eastAsia" w:ascii="仿宋_GB2312" w:hAnsi="仿宋_GB2312" w:eastAsia="仿宋_GB2312" w:cs="仿宋_GB23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为了加强对建设工程质量管理，保证建设工程质量，保护人民生命和财产安全，根据《中华人民共和国建筑法》，制定本条例。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第二条  凡在中华人民共和国境内从事建设工程的新建、扩建、改建等有关活动及实施对建设工程质量监督管理的，必须遵守本条例。本条列所称建设工程，是指土木工程、建筑工程、线路管道和设备安装工程及装修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建设单位、勘察单位、设计单位、施工单位、工程监理单位依法对建设工程质量负责。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县级以上人民政府建设行政主管部门和其他有关部门应当加强对建设工程质量的监督管理。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从事建设工程活动，必须严格执行基本建设程序，坚持先勘察、后设计、再施工的原则。县级以上人民政府及其有关部门不得超越权限审批建设项目或者擅自简化基本建设程序。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第六条  国家鼓励采用先进的科学技术和管理方法，提高建设工程质量。</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第二章 建设单位的质量责任和义务</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建设单位应当将工程发包给具有相应资质等级的单位。建设单位不得将建设工程肢解发包。</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建设单位应当依法对工程建设项目的勘察、设计、施工、监理以及与工程建设有关的重要设备、材料等采购进行招标。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建设单位必须向有关勘察、设计、施工、工程监理等单位提供与建设工程有关的原始资料。原始资料必须真实、准确、齐全。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建设工程发包单位，不得迫使承包方以低于成本的价格部标，不得任意压缩合理工期。</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建设单位应当将施工设计文件报县级以上人民政府建设行政主管部门或者其他有关部门审查。施工图设计文件审查的具体办法，由国务院建设行政主管部门会同国务院其他有关部门制定。施工图设计文件未经审查批准的，不得使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实行监理的建设工程，建设单位应当委托具有相应资质等级的工程监理单位进行监理，也可以委托具有工程监理相应资质等级并与被监理工程的施工承包单位没有隶属关第或者其他利害关系的该工程的设计单位进行监理。下列建设工程必须实行监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（一）国家重点建设工程；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（二）大中型公用事业工程；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（三）成片开发建设的住宅小区工程；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（四）利用外国政府或者国际组织袋款、援助资金的工程；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（五）国家规定必须实行监理的其他工程。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建设单位在领取施工许可证或者开工报告前，应当按照国家有关规定办理工程质量监督手续。</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按照合同约定，由建设单位采购建筑材料、建筑构配件和设备的，建设单位应当保证建筑材料、建筑构配件和设备符合设计文件和合同要求。建设单位不得明示或者暗示施工单位使用不合格的建筑材料、建筑构配件和设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涉及建筑主体和承重结构变动的装修工程，建设单位应当在施工前委托原设计单位或者具有相应资质等级的设计单位提出设计方案；没有设计方案的，不得施工。房屋建筑使用者在装修过程中，不得擅自变动房屋建筑主体和承重结构。</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建设单位收到建设工程竣工报告后，应当组织设计、施工、工程监理等有关单位进行竣工验收。建设工程竣工验收应当具备下列条件：</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（一）完成建设工程设计和合同约定的各项内容；</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（二）有完整的技术档案和施工管理资料；</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（三）有工程使用的主要建筑材料、建筑构配件和设备的进场试验报告；</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（四）有勘察、设计、施工、工程监理等单位分别签署的质量合格文件；</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（五）有施工单位签署的工程保修书。建设工程经验收合格的，方可交付使用。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第三章 勘察、设计单位的质量责任和义务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从事建设工程勘察、设计的单位应当依法取得相应等级的资质证书，并在其资质等级许可的范围内承揽工程。禁止勘察、设计单位超越其资质等级许可的范围或者以其他勘察、设计单位的名义承揽工程。禁止勘察、设计单位允许其他单位或者个人以本人单位的名义承揽工程。勘察、设计单位不得转包或者违法分包所承揽的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勘察、设计单位必须按照工程建设强制性标准进行勘察、设计，并对其勘察、设计的质量负责。注册建筑师、注册结构工程师等注册执业人员应当在设计文件上签字，对设计文件负责。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勘察单位提供的地质、测量、水文等勘察成果必须真实、准确。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设计单位应当根据勘察成果文件进行建设工程设计。设计文件应当符合国家规定的设计深度要求，注明工程合理使用年限。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设计单位在设计文件中选用的建筑材料、建筑构配件和设备，应当注明规格、型号、性能等技术指标，其质量要求必须符合国家规定的标准。除有特殊要求的建筑材料、专用设备、工艺生产线等外，设计单位不得指定生产厂、供应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设计单位应当就审查合格的施工图设计文件向施工单位作出详细说明。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设计单位应当参与建设工程质量事故分析，并对因设计造成的质量事帮，提出相应的技术处理方案。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第四章 施工单位的质量责任和义务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施工单位应当依法取得相应等级的资质证书，并在其资质等级许可的范围内承揽工程。禁止施工单位超本单位资质等级许可的业务范围或者以其他施工单位的名义承揽工程。禁止施工单位允许其他单位或者个人以本单位的名义承揽工程。施工单位不得转包或者违法分包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施工单位对建设工程的施工质量负责。施工单位应当建立质量责任制，确定工程项目的项目经理、技术负责人和施工管理负责人。建设工程实行总承包的，总承包单位应当对全部建设工程质量负责；建设工程勘察、设计、施工、设备采购的一项或者多项实行总承包的，总承包单位应当对其承包的建设工程或者采购的设备的质量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总承包单位依法将建设工程分包给其他单位的，分包单位应当按照分包合同的约定对其分包工程的质量向总承包单位负责，总承包单位与分包单位对分包工程的质量承担连带责任。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施工单位必须按照工程设计图纸和施工技术标准施工，不得擅自修改工程设计，不得偷工减料。施工单位在施工过程中发现设计文件和图纸有差错的，应当及时提出意见和建议。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施工单位必须按照工程设计要求、施工技术标准和合同约定，对建筑材料、建筑构配件、设备和商品混凝土进行检验，检验应当有书面记录和专人签字；未经检验或者检验不合格的，不得使用。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施工单位必须建立、健全施工质量的检验制度，严格工序管理，作好隐蔽工程的质量检查和记录。隐蔽工程在隐蔽前，施工单位应当通知建设单位和建设工程质量监督机构。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施工人员对涉及结构安全的试块、试件以及有关材料，应当在建设单位或者工程监理单位监理下现场取样，并送具有相应资质等级的质量检测单位进行检测。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施工单位对施工中出现质量问题的建设工程或者竣工验收不合格的建设工程，应当负责返修。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施工单位应当建立、健全教育培训制度，加强对职工的教育培训；未经教育培训或者考核不合格的人员，不得上岗作业。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第五章 工程监理单位的质量责任和义务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工程监理单位应当依法取得相应等级的资质证书，并在其资质等级许可的范围内承担工程监理业务。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第三十五条  工程监理单位与被监理工程的施工承包单位以及建筑材料、建筑构配件和设备供应单位有隶属关系或者其他利害关系的，不得承担该项建设工程的监理业务。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第三十六条  工程监理单位应当依照法律、法规以及有关技术标准、设计文件和建设工程承包合同，代表建设单位对施工质量实施监理，并对施工质量承担监理责任。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第三十七条  工程监理单位应当选派具有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第三十八条  监理工程师应当按照工程监理规范的要求，采取旁站、巡视和平行检验等形式，对建设工程实施监理。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第六章 建设工程质量保修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第三十九条  建设工程实行质量保修制度。建设工程承包单位在向建设单位提交工程峻工验收报告时，应当向建设单位出具质量保修书。质量保修书中应当明确建设工程的保修范围、保修期限和保修责任等。</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第四十条   在正常使用条件下，建设工程的最低保修期限为：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（一）基础设施工程、房屋建筑的地基基础工程和主体结构工程，为设计文件规定的该工程的合理使用年限；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（二）屋面防水工程、有防水要求的卫生间、房间和外墙面的防渗漏，为5年；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（三）供热与供冷系统，为2个采暖期、供冷期；其他项目的保修期限由发包方与承包方约定。建设工程的保修期，自竣工验收合格之日计算。</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第四十一条  建设工程在保修范围和保修期限内发生质量问题的，施工单位应当履行保修义务，并对造成的损失承担赔偿责任。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第四十二条  建设工程在超过合理使用年限后需要继续使用的，产权所有人应当委托具有相应资质等级的勘察、设计单位鉴定，并根据鉴定结果采取加固、维修等措施，重新界定使用期。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第七章 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第四十三条   国家实行建设工程质量监督管理制度。国务院建设行政主管部门对全国的建设工程质量实施统一监督管理。国务院铁路、交通、水利等有关部门按照国务院规定的职责分工，负责对全国的有关专业建设工程质量的监督管理。县级以上地方人民政府建设行政主管部门对本行政区域内的建设工程质量实施监督管理。县级以上地方人民政府交通、水利等有关部门在各自的职责范围内，负责对本行政区域内的专业建设工程质量的监督管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第四十四条  国务院建设行政主管部门和国务院铁路、交通、水利等有关部门应当加强对有关建设工程质量的法律、法规和强制性标准执行情况的监督检查。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第四十五条  国务院发展计划部门按照国务院规定的职责组织稽查特派员，对国家出资的重大建设项目实施监督检查。国务院经济贸易主管部门按照国管院规定的职责，对国家重大技术改造项目实施监督检查。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第四十六条  建设工程质量监督管理，可以由建设行政主管部门或者其他有关部门委托的建设工程质量监督机构具体实施。从事房屋建筑工程和市政基础设施工程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第四十七条  县级以上地方人民政府建设行政主管部门和其他有关部门应当加强中对有关建设工程质量的法律、法规和强制性标准执行情况的监督检查。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第四十八条  县级以上人民政府建设行政主管部门和其他有关部门履地监督检查职责时，有权采取下列措施：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（一）要求被检查的单位提供有关工程质量的文件和资料；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（二）进和被检查单位的施工现场进行检查；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（三）发现有影响工程质量的问题时，责令改正。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第四十九条  建设单位应当自建设工程竣工验收合格之日起15日内，将建设工程竣工验收报告和规划、公安消防、环保等部门出具的认可文件或者准许使用文件报建设行政主管部门或者其他有关部门备案。建设行政主管部门或者其他有关部门发现建设单位在竣工验收过程中有违反国家有关建设工程质量管理规定行为的，责令停止使用，重新组织竣工验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第五十条  有关单位和个人对县级以上人民政府建设行政主管部门和其他有关部门进行的监督检查应当支持与配合，不得拒绝或者阻碍建设工程质量监督检查人员依法执行职务。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第五十一条  供水、供电、供气、公安消防等部门或者单位不得明示或者暗示建设单位、施工单位购买其指定的生产供应单位的建筑材料、建筑构配件和设备。</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第五十二条  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和部门和其他有关部门报告。特别重大质量事故的调查程序按照国务院有关规定办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第五十三条  任何单位和个人对建设工程的质量事故、质量缺陷都有权检举、控告、投诉。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b w:val="0"/>
          <w:i w:val="0"/>
          <w:caps w:val="0"/>
          <w:color w:val="auto"/>
          <w:spacing w:val="0"/>
          <w:sz w:val="28"/>
          <w:szCs w:val="28"/>
        </w:rPr>
      </w:pPr>
      <w:r>
        <w:rPr>
          <w:rFonts w:hint="eastAsia" w:ascii="仿宋_GB2312" w:hAnsi="仿宋_GB2312" w:eastAsia="仿宋_GB2312" w:cs="仿宋_GB2312"/>
          <w:b/>
          <w:sz w:val="32"/>
          <w:szCs w:val="32"/>
          <w:lang w:val="en-US" w:eastAsia="zh-CN"/>
        </w:rPr>
        <w:t>第八章 罚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第五十四条  违反条例规定，建设单位将建设工程发创不具有相应资质等级的勘察、设计、施工单位或者委托给不具有相应资质等级的工程监理单位的，责令改正，处50万元以上100万元以下的罚款。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第五十五条  违反本条例规定，建设单位将建设工程肢解发包的，责令改正，处工程合同价款0.5%以上1%以下的罚款；对全部或者部分使用国有资金的项目，并可以暂停项目执行或者暂停资金拨付。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第五十六条  违反本条例规定，建设单位有下列行为之一的，责令改正，处20万元以上50万元以下的罚款：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（一）迫使承包方以低于成本的价格竞标的；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（二）任意压缩合理工期的；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（三）明示或者暗示设计单位或者施工单位违反工程建设强制性标准，降低工程质量的；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（四）施工图设计文件未经审查或者审查不合格，擅自施工的；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（五）建设项目必须实行工程监理而未实行工程监理的；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（六）未按照国家规定办理工程质量监督手续的；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（七）明示或者暗示施工单位使用不合格的建筑材料、建筑的构配件和设备的；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（八）未按照国家规定将竣工验收报告、有关认可文件或准许使用文件报送备案的。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第五十七条  违反本条例规定，建设单位未取得施工许可证或者开工报告未经批准，擅自施工的，责令停止施工，限期改正，处工程合同价款1%以上2%以下的罚款。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第五十八条  违反本条例规定，建设单位有下列行为之一的，责令改正，处工程合同价款2%以上4%以下的罚款；造成损失的，依法承担赔偿责任；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（一）未组织竣工验收，擅自交付使用的；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（二）验收不合格，擅自交付使用的；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（三）对不合格的建设工程按照合格工程验收的。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第五十九条  违反本条例规定，建设工程竣工验收后，建设单位未向建设行政主和部门或者其他有关部门移交建设项目档案的，责令改正，处1万元以上10万元以下的罚款。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 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例第一款规定处以罚款；有违法所得的，予以没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第六十三条  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握我行为，造成工程质量事故的，责令停业整顿，降低资质等级；情节严重的，吊销资质证书；造成损失的，依法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第六十五条  违反本条例规定，施工单位未对建筑材料、建筑构配件、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第六十六条 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第六十七条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第六十八条  违反本条例规定，工程监理单位与被监理工程的施工承包单位以及建筑材料、建筑构配件和设备从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第六十九条  违反本条例规定，涉及建筑主体或者承重结构变动的装修工程，没有设计方案擅自施工的，责令改正，处50万元以上100万元以下的罚款；方屋建筑使用者在装修过程中擅自变动房屋建筑主体和承重结构的，责令改正，处5万元以上10万元以下的罚款。有前款所列行为，造成损失的，依法承担赔偿责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第七十条 发生重大工程质量事故隐瞒不报、谎报或者拖延报告期限的，对直接负责的主管人员和其他责任人员依法给予行政处分。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第七十一条  违反本条例规定，供水、供电、供气、公安消防等部门或者单位明晃或者暗示建设单位或者施工单位购买其指定的生产供应单位的建筑材料、建筑构配件和设备的，责令改正。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第七十二条  违反本条例规定，注册建筑师、注册结构工程师、监理工程师等注册执业人员因过错造成质量事故的，责令停止执业1年；造成重在质量事故的，吊销执业资格证书，5年以内不予注册；情节特别恶劣的，终身不予注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第七十三条  依照本条例规定，给予单位罚款处罚的，对单位直接负责的主管人员和其他直接责任人员处单位罚款数额5%以上10%以下的罚款。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第七十四条  建设单位、设计单位、施工单位、工程监理单位违反国家规定，降低工程质量标准，造成重大安全事故，构成犯罪的，对直接责任人员依法追究刑事责任。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第七十六条  国家机关工作人员在建设工程质量监督管理工作中玩忽职守、滥用职权、徇私舞弊，构成犯罪的，依法追究刑事责任；尚不构成犯罪的，依法给予行政处分。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第七十七条  建设、勘察、设计、施工、工程监理单位的工作人员因调动工作、退休等原因离开该单位后，被发现在该单位工作期间违反国家有关建设工程质量管理规定，造成重大工程质量事故的，仍应当依法追究法律责任。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第九章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第七十八条   本条例所称肢解发包，是指建设单位将应当由一个承包单位完成的建设工程分解成若干部分发包给不同的承包单位的行为。本条例所称违法分包，是指下列行为：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（一）总承包单位将建设工程分包给不具备相应资质条件的单位的；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（二）建设工程总承包合同中未有约定，又未经建设单位认可，承包单位将其承包的部分建设工程交由其他单位完成的；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（三）施工总承包单位将建设工程主体结构的施工分包给其他单位的；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四）分包单位将其承包的建设工程再分包的。本条例所称转包，是指承包单位承包建设工程后，不履行合同约定的责任和义务，将其承包的全部建设工程转给他人或者将其承包的全部建设工程肢解以后以分包的名义分别转给其他单位承包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第七十九条  本条例规定的罚款和没收的违法所得，必须全部上缴国库。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第八十条  抢险救灾及其他临时性房屋建筑和农民自建低层住宅的建设活动，不适用本条例。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第八十一条  军事建设工程的管理，按照中央军事委员会的有关规定执行。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第八十二条  本条例自发布之日起施行。</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附刑法有关条款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第一百三十七条  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93B5E"/>
    <w:rsid w:val="3C993B5E"/>
    <w:rsid w:val="3CD627B3"/>
    <w:rsid w:val="4115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2020-04-27T02:14:00Z</dcterms:created>
  <dc:creator>caohf</dc:creator>
  <cp:lastModifiedBy>dell</cp:lastModifiedBy>
  <dcterms:modified xsi:type="dcterms:W3CDTF">2020-09-28T02:23:13Z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